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>Příloha č</w:t>
      </w:r>
      <w:r w:rsidRPr="005B4F98">
        <w:rPr>
          <w:b w:val="0"/>
          <w:bCs/>
          <w:u w:val="none"/>
          <w:lang w:eastAsia="en-US"/>
        </w:rPr>
        <w:t>. 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5A652BC8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5B4F98">
        <w:rPr>
          <w:rFonts w:eastAsia="Times New Roman" w:cs="Times New Roman"/>
          <w:b/>
          <w:highlight w:val="yellow"/>
          <w:lang w:eastAsia="cs-CZ"/>
        </w:rPr>
        <w:t>, č.j. ……</w:t>
      </w:r>
      <w:proofErr w:type="gramStart"/>
      <w:r w:rsidR="005B4F98">
        <w:rPr>
          <w:rFonts w:eastAsia="Times New Roman" w:cs="Times New Roman"/>
          <w:b/>
          <w:highlight w:val="yellow"/>
          <w:lang w:eastAsia="cs-CZ"/>
        </w:rPr>
        <w:t>…….</w:t>
      </w:r>
      <w:proofErr w:type="gramEnd"/>
      <w:r w:rsidR="005B4F98">
        <w:rPr>
          <w:rFonts w:eastAsia="Times New Roman" w:cs="Times New Roman"/>
          <w:b/>
          <w:highlight w:val="yellow"/>
          <w:lang w:eastAsia="cs-CZ"/>
        </w:rPr>
        <w:t>.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17F7269" w:rsidR="00D85C5B" w:rsidRDefault="003466C9" w:rsidP="008A7260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A7260" w:rsidRPr="008A7260">
        <w:rPr>
          <w:rFonts w:eastAsia="Times New Roman" w:cs="Times New Roman"/>
          <w:lang w:eastAsia="cs-CZ"/>
        </w:rPr>
        <w:t>Ing. Martinem Kašparem, ředitelem organizační jednotky Oblastního ředitelství Ústí nad Labem,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bookmarkStart w:id="0" w:name="_Hlk142547084"/>
      <w:r>
        <w:rPr>
          <w:b/>
        </w:rPr>
        <w:t>Adresa pro doručování písemností</w:t>
      </w:r>
      <w:r w:rsidRPr="00066297">
        <w:rPr>
          <w:b/>
        </w:rPr>
        <w:t xml:space="preserve"> v elektronické podobě</w:t>
      </w:r>
      <w:bookmarkEnd w:id="0"/>
      <w:r w:rsidRPr="00066297">
        <w:rPr>
          <w:b/>
        </w:rPr>
        <w:t>:</w:t>
      </w:r>
    </w:p>
    <w:p w14:paraId="7448CC4E" w14:textId="77777777" w:rsidR="003466C9" w:rsidRDefault="003F32AD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F32AD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3F32A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3F32AD">
        <w:rPr>
          <w:rFonts w:eastAsia="Times New Roman" w:cs="Times New Roman"/>
          <w:highlight w:val="green"/>
          <w:lang w:eastAsia="cs-CZ"/>
        </w:rPr>
        <w:t>jméno osoby</w:t>
      </w:r>
    </w:p>
    <w:p w14:paraId="05A19514" w14:textId="60D8F001" w:rsidR="00D85C5B" w:rsidRPr="003F32A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ab/>
      </w:r>
      <w:r w:rsidRPr="003F32AD">
        <w:rPr>
          <w:rFonts w:eastAsia="Times New Roman" w:cs="Times New Roman"/>
          <w:highlight w:val="green"/>
          <w:lang w:eastAsia="cs-CZ"/>
        </w:rPr>
        <w:tab/>
        <w:t>údaje o zápisu v</w:t>
      </w:r>
      <w:r w:rsidR="003F32AD">
        <w:rPr>
          <w:rFonts w:eastAsia="Times New Roman" w:cs="Times New Roman"/>
          <w:highlight w:val="green"/>
          <w:lang w:eastAsia="cs-CZ"/>
        </w:rPr>
        <w:t> </w:t>
      </w:r>
      <w:r w:rsidRPr="003F32AD">
        <w:rPr>
          <w:rFonts w:eastAsia="Times New Roman" w:cs="Times New Roman"/>
          <w:highlight w:val="green"/>
          <w:lang w:eastAsia="cs-CZ"/>
        </w:rPr>
        <w:t>evidenci</w:t>
      </w:r>
    </w:p>
    <w:p w14:paraId="22E0CB47" w14:textId="77777777" w:rsidR="00D85C5B" w:rsidRPr="003F32A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ab/>
      </w:r>
      <w:r w:rsidRPr="003F32AD">
        <w:rPr>
          <w:rFonts w:eastAsia="Times New Roman" w:cs="Times New Roman"/>
          <w:highlight w:val="green"/>
          <w:lang w:eastAsia="cs-CZ"/>
        </w:rPr>
        <w:tab/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44957F1B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3F32AD">
        <w:rPr>
          <w:rFonts w:eastAsia="Times New Roman" w:cs="Times New Roman"/>
          <w:i/>
          <w:highlight w:val="green"/>
          <w:lang w:eastAsia="cs-CZ"/>
        </w:rPr>
        <w:t>:</w:t>
      </w:r>
    </w:p>
    <w:p w14:paraId="555F4458" w14:textId="20A848AF" w:rsidR="00D85C5B" w:rsidRPr="000C5DA0" w:rsidRDefault="003F32A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Pr="003F32AD">
        <w:rPr>
          <w:rFonts w:eastAsia="Times New Roman" w:cs="Times New Roman"/>
          <w:highlight w:val="green"/>
          <w:lang w:eastAsia="cs-CZ"/>
        </w:rPr>
        <w:t>………………………….</w:t>
      </w:r>
    </w:p>
    <w:p w14:paraId="42CDD9AE" w14:textId="124750AD" w:rsidR="00D85C5B" w:rsidRPr="003F32AD" w:rsidRDefault="003F32AD" w:rsidP="003F32A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>Korespondenční adresa:</w:t>
      </w:r>
    </w:p>
    <w:p w14:paraId="54EEBB0A" w14:textId="3E1964AA" w:rsidR="003F32AD" w:rsidRDefault="003F32AD" w:rsidP="003F32A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>Adresa pro doručování písemností v elektronické podobě:</w:t>
      </w:r>
    </w:p>
    <w:p w14:paraId="5A9B339C" w14:textId="77777777" w:rsidR="003466C9" w:rsidRPr="000C5DA0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2CCC64A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</w:t>
      </w:r>
      <w:bookmarkStart w:id="1" w:name="_GoBack"/>
      <w:bookmarkEnd w:id="1"/>
      <w:r w:rsidRPr="004E1498">
        <w:rPr>
          <w:rFonts w:eastAsia="Times New Roman" w:cs="Times New Roman"/>
          <w:lang w:eastAsia="cs-CZ"/>
        </w:rPr>
        <w:t xml:space="preserve">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CD6ADE" w:rsidRPr="00CD6ADE">
        <w:rPr>
          <w:rFonts w:eastAsia="Times New Roman" w:cs="Times New Roman"/>
          <w:b/>
          <w:bCs/>
          <w:lang w:eastAsia="cs-CZ"/>
        </w:rPr>
        <w:t>Dodávka užitkového vozidla kategorie N1 pro OŘ UNL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>ev. č. veřejné zakázky</w:t>
      </w:r>
      <w:bookmarkStart w:id="2" w:name="_Hlk128656993"/>
      <w:r w:rsidR="00B26CDB">
        <w:rPr>
          <w:rFonts w:eastAsia="Times New Roman" w:cs="Times New Roman"/>
          <w:lang w:eastAsia="cs-CZ"/>
        </w:rPr>
        <w:t xml:space="preserve"> </w:t>
      </w:r>
      <w:r w:rsidRPr="00B26CDB">
        <w:rPr>
          <w:rFonts w:eastAsia="Times New Roman" w:cs="Times New Roman"/>
          <w:bCs/>
          <w:lang w:eastAsia="cs-CZ"/>
        </w:rPr>
        <w:t>6502</w:t>
      </w:r>
      <w:bookmarkEnd w:id="2"/>
      <w:r w:rsidR="00CD6ADE" w:rsidRPr="00B26CDB">
        <w:rPr>
          <w:rFonts w:eastAsia="Times New Roman" w:cs="Times New Roman"/>
          <w:bCs/>
          <w:lang w:eastAsia="cs-CZ"/>
        </w:rPr>
        <w:t>3065</w:t>
      </w:r>
      <w:r w:rsidR="00B26CDB" w:rsidRPr="00B26CDB">
        <w:rPr>
          <w:rFonts w:eastAsia="Times New Roman" w:cs="Times New Roman"/>
          <w:bCs/>
          <w:lang w:eastAsia="cs-CZ"/>
        </w:rPr>
        <w:t>,</w:t>
      </w:r>
      <w:r w:rsidR="00B26CDB" w:rsidRPr="00B26CDB">
        <w:rPr>
          <w:rFonts w:eastAsia="Times New Roman" w:cs="Times New Roman"/>
          <w:lang w:eastAsia="cs-CZ"/>
        </w:rPr>
        <w:t xml:space="preserve"> č.j. veřejné zakázky 25026/2023-SŽ-OŘ UNL-OVZ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55288E">
        <w:rPr>
          <w:rFonts w:eastAsia="Times New Roman" w:cs="Times New Roman"/>
          <w:b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7E38C78F" w:rsidR="00D85C5B" w:rsidRPr="00CD6ADE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6ADE">
        <w:rPr>
          <w:rFonts w:eastAsia="Times New Roman" w:cs="Times New Roman"/>
          <w:lang w:eastAsia="cs-CZ"/>
        </w:rPr>
        <w:t>Předmětem koupě je</w:t>
      </w:r>
      <w:r w:rsidR="00CD6ADE" w:rsidRPr="00CD6ADE">
        <w:t xml:space="preserve"> </w:t>
      </w:r>
      <w:r w:rsidR="00CD6ADE" w:rsidRPr="00CD6ADE">
        <w:rPr>
          <w:rFonts w:eastAsia="Times New Roman" w:cs="Times New Roman"/>
          <w:lang w:eastAsia="cs-CZ"/>
        </w:rPr>
        <w:t>dodávka užitkového vozidla kategorie N1</w:t>
      </w:r>
      <w:r w:rsidRPr="00CD6ADE">
        <w:rPr>
          <w:rFonts w:eastAsia="Times New Roman" w:cs="Times New Roman"/>
          <w:lang w:eastAsia="cs-CZ"/>
        </w:rPr>
        <w:t>.</w:t>
      </w:r>
    </w:p>
    <w:p w14:paraId="01CA54BB" w14:textId="2337EAA7" w:rsidR="00D85C5B" w:rsidRPr="0090784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7843">
        <w:rPr>
          <w:rFonts w:eastAsia="Times New Roman" w:cs="Times New Roman"/>
          <w:lang w:eastAsia="cs-CZ"/>
        </w:rPr>
        <w:t>Přesná specifikace je uvedena v příloze č.</w:t>
      </w:r>
      <w:r w:rsidR="00255F3B" w:rsidRPr="00907843">
        <w:rPr>
          <w:rFonts w:eastAsia="Times New Roman" w:cs="Times New Roman"/>
          <w:lang w:eastAsia="cs-CZ"/>
        </w:rPr>
        <w:t xml:space="preserve"> 2 </w:t>
      </w:r>
      <w:r w:rsidRPr="00907843">
        <w:rPr>
          <w:rFonts w:eastAsia="Times New Roman" w:cs="Times New Roman"/>
          <w:lang w:eastAsia="cs-CZ"/>
        </w:rPr>
        <w:t xml:space="preserve">této </w:t>
      </w:r>
      <w:r w:rsidR="008B1447" w:rsidRPr="00907843">
        <w:rPr>
          <w:rFonts w:eastAsia="Times New Roman" w:cs="Times New Roman"/>
          <w:lang w:eastAsia="cs-CZ"/>
        </w:rPr>
        <w:t>Sml</w:t>
      </w:r>
      <w:r w:rsidRPr="00907843">
        <w:rPr>
          <w:rFonts w:eastAsia="Times New Roman" w:cs="Times New Roman"/>
          <w:lang w:eastAsia="cs-CZ"/>
        </w:rPr>
        <w:t>ouvy.</w:t>
      </w:r>
    </w:p>
    <w:p w14:paraId="12813BF6" w14:textId="02E5F6A1" w:rsidR="00945C3D" w:rsidRPr="008A7260" w:rsidRDefault="00945C3D" w:rsidP="00945C3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7843">
        <w:rPr>
          <w:rFonts w:eastAsia="Times New Roman" w:cs="Times New Roman"/>
          <w:lang w:eastAsia="cs-CZ"/>
        </w:rPr>
        <w:lastRenderedPageBreak/>
        <w:t xml:space="preserve">Předmět koupě 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</w:t>
      </w:r>
      <w:r w:rsidRPr="008A7260">
        <w:rPr>
          <w:rFonts w:eastAsia="Times New Roman" w:cs="Times New Roman"/>
          <w:lang w:eastAsia="cs-CZ"/>
        </w:rPr>
        <w:t>provozu na pozemních komunikacích a o změnách některých zákonů (zákon o silničním provozu), ve znění pozdějších předpisů, zejména jeho § 10 odst. 2.</w:t>
      </w:r>
    </w:p>
    <w:p w14:paraId="44F585E4" w14:textId="1194441F" w:rsidR="00945C3D" w:rsidRPr="008A7260" w:rsidRDefault="00945C3D" w:rsidP="00945C3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A7260">
        <w:rPr>
          <w:rFonts w:eastAsia="Times New Roman" w:cs="Times New Roman"/>
          <w:lang w:eastAsia="cs-CZ"/>
        </w:rPr>
        <w:t>Dodávané vozidlo musí splňovat aktuálně platnou emisní normu.</w:t>
      </w:r>
    </w:p>
    <w:p w14:paraId="59CF4505" w14:textId="77777777" w:rsidR="00945C3D" w:rsidRPr="008A7260" w:rsidRDefault="00945C3D" w:rsidP="00945C3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A7260">
        <w:rPr>
          <w:rFonts w:eastAsia="Times New Roman" w:cs="Times New Roman"/>
          <w:lang w:eastAsia="cs-CZ"/>
        </w:rPr>
        <w:t>Předmět koupě musí být nový, s maximálním nájezdem do 70 km.</w:t>
      </w:r>
    </w:p>
    <w:p w14:paraId="767BC5C4" w14:textId="77777777" w:rsidR="00945C3D" w:rsidRPr="008A7260" w:rsidRDefault="00945C3D" w:rsidP="00945C3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A7260">
        <w:rPr>
          <w:rFonts w:eastAsia="Times New Roman" w:cs="Times New Roman"/>
          <w:lang w:eastAsia="cs-CZ"/>
        </w:rPr>
        <w:t>Na nabízeném užitkovém vozidle musí být proveden kompletní předprodejní servis.</w:t>
      </w:r>
    </w:p>
    <w:p w14:paraId="4A214B1F" w14:textId="6AE2FB49" w:rsidR="00D85C5B" w:rsidRPr="008A7260" w:rsidRDefault="00945C3D" w:rsidP="00CD6AD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A7260">
        <w:rPr>
          <w:rFonts w:eastAsia="Times New Roman" w:cs="Times New Roman"/>
          <w:lang w:eastAsia="cs-CZ"/>
        </w:rPr>
        <w:t>Prodávající je povinen zajistit přihlášení předmětu koupě (vozidla) do registru silničních vozidel</w:t>
      </w:r>
      <w:bookmarkStart w:id="3" w:name="_Hlk141356707"/>
      <w:r w:rsidRPr="008A7260">
        <w:rPr>
          <w:rFonts w:eastAsia="Times New Roman" w:cs="Times New Roman"/>
          <w:lang w:eastAsia="cs-CZ"/>
        </w:rPr>
        <w:t>, pokud se smluvní strany nedohodnou jinak</w:t>
      </w:r>
      <w:bookmarkEnd w:id="3"/>
      <w:r w:rsidRPr="008A7260">
        <w:rPr>
          <w:rFonts w:eastAsia="Times New Roman" w:cs="Times New Roman"/>
          <w:lang w:eastAsia="cs-CZ"/>
        </w:rPr>
        <w:t xml:space="preserve">. 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73590B4" w:rsidR="00C24C30" w:rsidRPr="00CD6ADE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D6ADE">
        <w:rPr>
          <w:rFonts w:eastAsia="Times New Roman" w:cs="Times New Roman"/>
          <w:lang w:eastAsia="cs-CZ"/>
        </w:rPr>
        <w:t xml:space="preserve">Přílohou č. </w:t>
      </w:r>
      <w:r w:rsidR="00255F3B" w:rsidRPr="00CD6ADE">
        <w:rPr>
          <w:rFonts w:eastAsia="Times New Roman" w:cs="Times New Roman"/>
          <w:lang w:eastAsia="cs-CZ"/>
        </w:rPr>
        <w:t>3</w:t>
      </w:r>
      <w:r w:rsidRPr="00CD6ADE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41CD81D7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Kupní cena bude uh</w:t>
      </w:r>
      <w:r w:rsidRPr="00CD6ADE">
        <w:rPr>
          <w:rFonts w:eastAsia="Times New Roman" w:cs="Times New Roman"/>
          <w:lang w:eastAsia="cs-CZ"/>
        </w:rPr>
        <w:t xml:space="preserve">razena na základě předávacího protokolu podepsaného oběma </w:t>
      </w:r>
      <w:r w:rsidR="008B1447" w:rsidRPr="00CD6ADE">
        <w:rPr>
          <w:rFonts w:eastAsia="Times New Roman" w:cs="Times New Roman"/>
          <w:lang w:eastAsia="cs-CZ"/>
        </w:rPr>
        <w:t>Sml</w:t>
      </w:r>
      <w:r w:rsidRPr="00CD6ADE">
        <w:rPr>
          <w:rFonts w:eastAsia="Times New Roman" w:cs="Times New Roman"/>
          <w:lang w:eastAsia="cs-CZ"/>
        </w:rPr>
        <w:t>uvními stranami</w:t>
      </w:r>
      <w:r w:rsidR="00875267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CD6ADE">
        <w:rPr>
          <w:rFonts w:eastAsia="Times New Roman" w:cs="Times New Roman"/>
          <w:lang w:eastAsia="cs-CZ"/>
        </w:rPr>
        <w:t>.</w:t>
      </w:r>
    </w:p>
    <w:p w14:paraId="50139EBB" w14:textId="5FC80BAC" w:rsidR="00875267" w:rsidRPr="00875267" w:rsidRDefault="002A6DEC" w:rsidP="0087526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Odstavec 19 Obchodních podmínek se mění takto: Kupní cenu a případnou DPH </w:t>
      </w:r>
      <w:r w:rsidR="00875267" w:rsidRPr="00875267">
        <w:rPr>
          <w:rFonts w:eastAsia="Times New Roman" w:cs="Times New Roman"/>
          <w:lang w:eastAsia="cs-CZ"/>
        </w:rPr>
        <w:t xml:space="preserve">je Kupující povinen uhradit Prodávajícímu do </w:t>
      </w:r>
      <w:r w:rsidR="00875267" w:rsidRPr="00875267">
        <w:rPr>
          <w:rFonts w:eastAsia="Times New Roman" w:cs="Times New Roman"/>
          <w:b/>
          <w:lang w:eastAsia="cs-CZ"/>
        </w:rPr>
        <w:t>60 dnů</w:t>
      </w:r>
      <w:r w:rsidR="00875267" w:rsidRPr="00875267">
        <w:rPr>
          <w:rFonts w:eastAsia="Times New Roman" w:cs="Times New Roman"/>
          <w:lang w:eastAsia="cs-CZ"/>
        </w:rPr>
        <w:t xml:space="preserve"> ode dne převzetí Předmětu koupě.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DPH bude uplatněno v souladu s ustanovením zákona č. 235/2004 Sb. o dani z přidané hodnoty, ve znění pozdějších předpisů a jeho novele č. 47/2011 Sb., tj. podřízenosti k § </w:t>
      </w:r>
      <w:proofErr w:type="gramStart"/>
      <w:r w:rsidRPr="00255F3B">
        <w:rPr>
          <w:rFonts w:eastAsia="Times New Roman" w:cs="Times New Roman"/>
          <w:lang w:eastAsia="cs-CZ"/>
        </w:rPr>
        <w:t>92a</w:t>
      </w:r>
      <w:proofErr w:type="gramEnd"/>
      <w:r w:rsidRPr="00255F3B">
        <w:rPr>
          <w:rFonts w:eastAsia="Times New Roman" w:cs="Times New Roman"/>
          <w:lang w:eastAsia="cs-CZ"/>
        </w:rPr>
        <w:t xml:space="preserve">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</w:t>
      </w:r>
      <w:proofErr w:type="spellStart"/>
      <w:r w:rsidRPr="00255F3B">
        <w:rPr>
          <w:rFonts w:eastAsia="Times New Roman" w:cs="Times New Roman"/>
          <w:lang w:eastAsia="cs-CZ"/>
        </w:rPr>
        <w:t>skenu</w:t>
      </w:r>
      <w:proofErr w:type="spellEnd"/>
      <w:r w:rsidRPr="00255F3B">
        <w:rPr>
          <w:rFonts w:eastAsia="Times New Roman" w:cs="Times New Roman"/>
          <w:lang w:eastAsia="cs-CZ"/>
        </w:rPr>
        <w:t xml:space="preserve">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4E7E0338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</w:t>
      </w:r>
      <w:r w:rsidRPr="00875267">
        <w:rPr>
          <w:rFonts w:eastAsia="Times New Roman" w:cs="Times New Roman"/>
          <w:lang w:eastAsia="cs-CZ"/>
        </w:rPr>
        <w:t>přílohu č. 6 Smlouvy</w:t>
      </w:r>
      <w:r w:rsidRPr="004F403A">
        <w:rPr>
          <w:rFonts w:eastAsia="Times New Roman" w:cs="Times New Roman"/>
          <w:lang w:eastAsia="cs-CZ"/>
        </w:rPr>
        <w:t xml:space="preserve">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534E4B24" w14:textId="7DA58F13" w:rsidR="007B7288" w:rsidRDefault="007B7288" w:rsidP="007B7288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36EB46D" w14:textId="590CA26C" w:rsidR="007B7288" w:rsidRDefault="007B7288" w:rsidP="007B7288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CD6ADE" w:rsidRDefault="00D85C5B" w:rsidP="000E4F4B">
      <w:pPr>
        <w:pStyle w:val="Nadpis1"/>
        <w:rPr>
          <w:rFonts w:eastAsia="Times New Roman"/>
          <w:lang w:eastAsia="cs-CZ"/>
        </w:rPr>
      </w:pPr>
      <w:r w:rsidRPr="00CD6ADE">
        <w:rPr>
          <w:rFonts w:eastAsia="Times New Roman"/>
          <w:lang w:eastAsia="cs-CZ"/>
        </w:rPr>
        <w:lastRenderedPageBreak/>
        <w:t>Místo a doba dodání</w:t>
      </w:r>
    </w:p>
    <w:p w14:paraId="37954E98" w14:textId="3E9E95A5" w:rsidR="00D85C5B" w:rsidRPr="00FF143A" w:rsidRDefault="00D85C5B" w:rsidP="00FF143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6ADE">
        <w:rPr>
          <w:rFonts w:eastAsia="Times New Roman" w:cs="Times New Roman"/>
          <w:lang w:eastAsia="cs-CZ"/>
        </w:rPr>
        <w:t>Místo dodání je</w:t>
      </w:r>
      <w:r w:rsidR="00CD6ADE" w:rsidRPr="00CD6ADE">
        <w:rPr>
          <w:rFonts w:eastAsia="Times New Roman" w:cs="Times New Roman"/>
          <w:lang w:eastAsia="cs-CZ"/>
        </w:rPr>
        <w:t xml:space="preserve"> Oblastní ředitelství Ústí nad Labem</w:t>
      </w:r>
      <w:r w:rsidR="007B7288">
        <w:rPr>
          <w:rFonts w:eastAsia="Times New Roman" w:cs="Times New Roman"/>
          <w:lang w:eastAsia="cs-CZ"/>
        </w:rPr>
        <w:t>,</w:t>
      </w:r>
      <w:r w:rsidR="00FF143A" w:rsidRPr="00FF143A">
        <w:t xml:space="preserve"> </w:t>
      </w:r>
      <w:r w:rsidR="00FF143A" w:rsidRPr="00FF143A">
        <w:rPr>
          <w:rFonts w:eastAsia="Times New Roman" w:cs="Times New Roman"/>
          <w:lang w:eastAsia="cs-CZ"/>
        </w:rPr>
        <w:t>Železničářská 1386/31</w:t>
      </w:r>
      <w:r w:rsidR="00FF143A">
        <w:rPr>
          <w:rFonts w:eastAsia="Times New Roman" w:cs="Times New Roman"/>
          <w:lang w:eastAsia="cs-CZ"/>
        </w:rPr>
        <w:t xml:space="preserve">, </w:t>
      </w:r>
      <w:r w:rsidR="00FF143A" w:rsidRPr="00FF143A">
        <w:rPr>
          <w:rFonts w:eastAsia="Times New Roman" w:cs="Times New Roman"/>
          <w:lang w:eastAsia="cs-CZ"/>
        </w:rPr>
        <w:t>400 03 Ústí nad Labem</w:t>
      </w:r>
      <w:r w:rsidRPr="00FF143A">
        <w:rPr>
          <w:rFonts w:eastAsia="Times New Roman" w:cs="Times New Roman"/>
          <w:lang w:eastAsia="cs-CZ"/>
        </w:rPr>
        <w:t>.</w:t>
      </w:r>
    </w:p>
    <w:p w14:paraId="5115D35D" w14:textId="7C83E3E1" w:rsidR="00D85C5B" w:rsidRPr="00CD6ADE" w:rsidRDefault="00D85C5B" w:rsidP="00CD6ADE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6ADE">
        <w:rPr>
          <w:rFonts w:eastAsia="Times New Roman" w:cs="Times New Roman"/>
          <w:lang w:eastAsia="cs-CZ"/>
        </w:rPr>
        <w:t xml:space="preserve">Předmět koupě bude dodán </w:t>
      </w:r>
      <w:r w:rsidRPr="00FF143A">
        <w:rPr>
          <w:rFonts w:eastAsia="Times New Roman" w:cs="Times New Roman"/>
          <w:b/>
          <w:lang w:eastAsia="cs-CZ"/>
        </w:rPr>
        <w:t xml:space="preserve">do </w:t>
      </w:r>
      <w:r w:rsidR="00CD6ADE" w:rsidRPr="00FF143A">
        <w:rPr>
          <w:rFonts w:eastAsia="Times New Roman" w:cs="Times New Roman"/>
          <w:b/>
          <w:lang w:eastAsia="cs-CZ"/>
        </w:rPr>
        <w:t>30. 11. 2023</w:t>
      </w:r>
      <w:r w:rsidRPr="00CD6ADE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45C3D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45C3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945C3D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45C3D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736300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1732104F" w:rsidR="00D85C5B" w:rsidRPr="00736300" w:rsidRDefault="00945C3D" w:rsidP="00945C3D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Osvědčení o registraci vozidla část I. (tzv. malý technický průkaz), pokud se smluvní strany nedohodnou jinak dle odst. 1.7. Smlouvy</w:t>
      </w:r>
      <w:r w:rsidR="00D85C5B" w:rsidRPr="00736300">
        <w:rPr>
          <w:rFonts w:eastAsia="Times New Roman" w:cs="Times New Roman"/>
          <w:lang w:eastAsia="cs-CZ"/>
        </w:rPr>
        <w:t xml:space="preserve">, </w:t>
      </w:r>
    </w:p>
    <w:p w14:paraId="397913B6" w14:textId="77777777" w:rsidR="00945C3D" w:rsidRPr="00736300" w:rsidRDefault="00945C3D" w:rsidP="00945C3D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Osvědčení o registraci vozidla část II. (tzv. velký technický průkaz), pokud se smluvní strany nedohodnou jinak dle odst. 1.7. Smlouvy,</w:t>
      </w:r>
    </w:p>
    <w:p w14:paraId="6941EE3F" w14:textId="7B632223" w:rsidR="00945C3D" w:rsidRPr="00736300" w:rsidRDefault="00945C3D" w:rsidP="00945C3D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Servisní kniha</w:t>
      </w:r>
      <w:r w:rsidR="00736300" w:rsidRPr="00736300">
        <w:rPr>
          <w:rFonts w:eastAsia="Times New Roman" w:cs="Times New Roman"/>
          <w:lang w:eastAsia="cs-CZ"/>
        </w:rPr>
        <w:t xml:space="preserve"> (listinná či elektronická podoba)</w:t>
      </w:r>
      <w:r w:rsidRPr="00736300">
        <w:rPr>
          <w:rFonts w:eastAsia="Times New Roman" w:cs="Times New Roman"/>
          <w:lang w:eastAsia="cs-CZ"/>
        </w:rPr>
        <w:t>,</w:t>
      </w:r>
    </w:p>
    <w:p w14:paraId="4A7CC14B" w14:textId="77777777" w:rsidR="00945C3D" w:rsidRPr="00736300" w:rsidRDefault="00945C3D" w:rsidP="00945C3D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Návod k obsluze,</w:t>
      </w:r>
    </w:p>
    <w:p w14:paraId="247584B4" w14:textId="2F0070C1" w:rsidR="00D85C5B" w:rsidRPr="000D4601" w:rsidRDefault="00945C3D" w:rsidP="00945C3D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EC CERTIFICATE OF CONFORMITY, tzv. COC list</w:t>
      </w:r>
      <w:r w:rsidR="00D85C5B" w:rsidRPr="00736300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3EA1AB1" w14:textId="151F8BC5" w:rsidR="00E8159A" w:rsidRPr="00E8159A" w:rsidRDefault="00945C3D" w:rsidP="00E8159A">
      <w:pPr>
        <w:pStyle w:val="Odstavecseseznamem"/>
        <w:numPr>
          <w:ilvl w:val="1"/>
          <w:numId w:val="10"/>
        </w:numPr>
        <w:ind w:left="709" w:hanging="709"/>
        <w:rPr>
          <w:rFonts w:eastAsia="Times New Roman" w:cs="Times New Roman"/>
          <w:lang w:eastAsia="cs-CZ"/>
        </w:rPr>
      </w:pPr>
      <w:r w:rsidRPr="00736300">
        <w:rPr>
          <w:rFonts w:eastAsia="Times New Roman" w:cs="Times New Roman"/>
          <w:lang w:eastAsia="cs-CZ"/>
        </w:rPr>
        <w:t>Záruční doba na předmět koupě je stanovena v délce 5 let nebo do ujetí 200 000 km, podle toho, která situace nastane dříve.</w:t>
      </w:r>
    </w:p>
    <w:p w14:paraId="542CBA16" w14:textId="1110368E" w:rsidR="00DA27B1" w:rsidRPr="00E8159A" w:rsidRDefault="00945C3D" w:rsidP="00E8159A">
      <w:pPr>
        <w:pStyle w:val="Odstavecseseznamem"/>
        <w:numPr>
          <w:ilvl w:val="1"/>
          <w:numId w:val="10"/>
        </w:numPr>
        <w:ind w:left="709" w:hanging="709"/>
        <w:rPr>
          <w:rFonts w:eastAsia="Times New Roman" w:cs="Times New Roman"/>
          <w:lang w:eastAsia="cs-CZ"/>
        </w:rPr>
      </w:pPr>
      <w:r w:rsidRPr="00E8159A">
        <w:rPr>
          <w:rFonts w:eastAsia="Times New Roman" w:cs="Times New Roman"/>
          <w:lang w:eastAsia="cs-CZ"/>
        </w:rPr>
        <w:t>Prodávající předá Kupujícímu Seznam smluvních autorizovaných servisů (Příloha č. </w:t>
      </w:r>
      <w:r w:rsidR="00DA27B1" w:rsidRPr="00E8159A">
        <w:rPr>
          <w:rFonts w:eastAsia="Times New Roman" w:cs="Times New Roman"/>
          <w:lang w:eastAsia="cs-CZ"/>
        </w:rPr>
        <w:t>4</w:t>
      </w:r>
      <w:r w:rsidRPr="00E8159A">
        <w:rPr>
          <w:rFonts w:eastAsia="Times New Roman" w:cs="Times New Roman"/>
          <w:lang w:eastAsia="cs-CZ"/>
        </w:rPr>
        <w:t xml:space="preserve"> Smlouvy), ve kterých bude Kupující oprávněn požadovat provedení záručních a pozáručních oprav a servisních prohlídek předmětu koupě bez negativního vlivu na poskytnutou záruku.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3DB8BF55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255F3B" w:rsidRPr="00875267">
        <w:rPr>
          <w:rFonts w:eastAsia="Times New Roman" w:cs="Times New Roman"/>
          <w:b w:val="0"/>
          <w:u w:val="none"/>
          <w:lang w:eastAsia="cs-CZ"/>
        </w:rPr>
        <w:t>5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331C4D" w:rsidRDefault="00B40A47" w:rsidP="00B40A47">
      <w:pPr>
        <w:pStyle w:val="Odstavecseseznamem"/>
        <w:ind w:left="1418"/>
        <w:rPr>
          <w:i/>
          <w:lang w:eastAsia="cs-CZ"/>
        </w:rPr>
      </w:pPr>
      <w:r w:rsidRPr="00331C4D">
        <w:rPr>
          <w:i/>
          <w:lang w:eastAsia="cs-CZ"/>
        </w:rPr>
        <w:t>ve věcech smluvních a obchodních (mimo podpisu této smlouvy):</w:t>
      </w:r>
    </w:p>
    <w:p w14:paraId="2F2C3A79" w14:textId="7D2724F7" w:rsidR="00B40A47" w:rsidRPr="00331C4D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331C4D">
        <w:rPr>
          <w:rFonts w:eastAsia="Times New Roman" w:cs="Times New Roman"/>
          <w:lang w:eastAsia="cs-CZ"/>
        </w:rPr>
        <w:t xml:space="preserve">p. </w:t>
      </w:r>
      <w:r w:rsidR="00331C4D" w:rsidRPr="00331C4D">
        <w:rPr>
          <w:rFonts w:eastAsia="Times New Roman" w:cs="Times New Roman"/>
          <w:lang w:eastAsia="cs-CZ"/>
        </w:rPr>
        <w:t>Bc. Lucie Křehlíková</w:t>
      </w:r>
      <w:r w:rsidRPr="00331C4D">
        <w:rPr>
          <w:rFonts w:eastAsia="Times New Roman" w:cs="Times New Roman"/>
          <w:lang w:eastAsia="cs-CZ"/>
        </w:rPr>
        <w:t xml:space="preserve">, tel. </w:t>
      </w:r>
      <w:r w:rsidR="00331C4D" w:rsidRPr="00331C4D">
        <w:rPr>
          <w:rFonts w:eastAsia="Times New Roman" w:cs="Times New Roman"/>
          <w:lang w:eastAsia="cs-CZ"/>
        </w:rPr>
        <w:t>972 424 425</w:t>
      </w:r>
      <w:r w:rsidRPr="00331C4D">
        <w:rPr>
          <w:rFonts w:eastAsia="Times New Roman" w:cs="Times New Roman"/>
          <w:lang w:eastAsia="cs-CZ"/>
        </w:rPr>
        <w:t xml:space="preserve">, email </w:t>
      </w:r>
      <w:hyperlink r:id="rId14" w:history="1">
        <w:r w:rsidR="00331C4D" w:rsidRPr="00331C4D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331C4D" w:rsidRPr="00331C4D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331C4D" w:rsidRDefault="00B40A47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331C4D">
        <w:rPr>
          <w:rFonts w:eastAsia="Times New Roman" w:cs="Times New Roman"/>
          <w:i/>
          <w:lang w:eastAsia="cs-CZ"/>
        </w:rPr>
        <w:t>ve věcech technických:</w:t>
      </w:r>
    </w:p>
    <w:p w14:paraId="21D712C9" w14:textId="4B965CD1" w:rsidR="00B40A47" w:rsidRPr="00142929" w:rsidRDefault="00B40A47" w:rsidP="00B40A47">
      <w:pPr>
        <w:pStyle w:val="Odstavecseseznamem"/>
        <w:ind w:left="1418"/>
        <w:rPr>
          <w:lang w:eastAsia="cs-CZ"/>
        </w:rPr>
      </w:pPr>
      <w:r w:rsidRPr="00331C4D">
        <w:rPr>
          <w:rFonts w:eastAsia="Times New Roman" w:cs="Times New Roman"/>
          <w:lang w:eastAsia="cs-CZ"/>
        </w:rPr>
        <w:t xml:space="preserve">p. </w:t>
      </w:r>
      <w:r w:rsidR="00331C4D" w:rsidRPr="00331C4D">
        <w:rPr>
          <w:rFonts w:eastAsia="Times New Roman" w:cs="Times New Roman"/>
          <w:lang w:eastAsia="cs-CZ"/>
        </w:rPr>
        <w:t>Jaroslav Beneš</w:t>
      </w:r>
      <w:r w:rsidRPr="00331C4D">
        <w:rPr>
          <w:rFonts w:eastAsia="Times New Roman" w:cs="Times New Roman"/>
          <w:lang w:eastAsia="cs-CZ"/>
        </w:rPr>
        <w:t xml:space="preserve">, tel. </w:t>
      </w:r>
      <w:r w:rsidR="00331C4D" w:rsidRPr="00331C4D">
        <w:rPr>
          <w:rFonts w:eastAsia="Times New Roman" w:cs="Times New Roman"/>
          <w:lang w:eastAsia="cs-CZ"/>
        </w:rPr>
        <w:t>972 422 093, 724 800 493</w:t>
      </w:r>
      <w:r w:rsidRPr="00331C4D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331C4D" w:rsidRPr="00331C4D">
          <w:rPr>
            <w:rStyle w:val="Hypertextovodkaz"/>
            <w:rFonts w:eastAsia="Times New Roman" w:cs="Times New Roman"/>
            <w:lang w:eastAsia="cs-CZ"/>
          </w:rPr>
          <w:t>BenesJ@spravazeleznic.cz</w:t>
        </w:r>
      </w:hyperlink>
      <w:r w:rsidR="00331C4D" w:rsidRPr="00331C4D">
        <w:rPr>
          <w:rFonts w:eastAsia="Times New Roman" w:cs="Times New Roman"/>
          <w:lang w:eastAsia="cs-CZ"/>
        </w:rPr>
        <w:t xml:space="preserve">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Pr="00331C4D" w:rsidRDefault="00142929" w:rsidP="00B40A47">
      <w:pPr>
        <w:pStyle w:val="Odstavecseseznamem"/>
        <w:ind w:left="1418"/>
        <w:rPr>
          <w:rFonts w:eastAsia="Times New Roman" w:cs="Times New Roman"/>
          <w:i/>
          <w:highlight w:val="green"/>
          <w:lang w:eastAsia="cs-CZ"/>
        </w:rPr>
      </w:pPr>
      <w:r w:rsidRPr="00331C4D">
        <w:rPr>
          <w:rFonts w:eastAsia="Times New Roman" w:cs="Times New Roman"/>
          <w:i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Pr="00331C4D" w:rsidRDefault="00142929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331C4D">
        <w:rPr>
          <w:rFonts w:eastAsia="Times New Roman" w:cs="Times New Roman"/>
          <w:i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lastRenderedPageBreak/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369B6D3A" w14:textId="7F712F18" w:rsidR="00B40A47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059E4B66" w:rsidR="008D48F3" w:rsidRPr="008D48F3" w:rsidRDefault="008D48F3" w:rsidP="008D48F3">
      <w:pPr>
        <w:spacing w:after="0" w:line="240" w:lineRule="auto"/>
        <w:ind w:left="708"/>
        <w:rPr>
          <w:lang w:eastAsia="cs-CZ"/>
        </w:rPr>
      </w:pPr>
      <w:r w:rsidRPr="008D48F3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8D48F3">
        <w:rPr>
          <w:lang w:eastAsia="cs-CZ"/>
        </w:rPr>
        <w:t>compliance</w:t>
      </w:r>
      <w:proofErr w:type="spellEnd"/>
      <w:r w:rsidRPr="008D48F3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</w:t>
      </w:r>
      <w:r w:rsidRPr="00483C85">
        <w:rPr>
          <w:b w:val="0"/>
          <w:u w:val="none"/>
          <w:lang w:eastAsia="cs-CZ"/>
        </w:rPr>
        <w:lastRenderedPageBreak/>
        <w:t xml:space="preserve">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28005F01" w:rsidR="00BD32CD" w:rsidRPr="00483C85" w:rsidRDefault="003330E9" w:rsidP="00DA27B1">
      <w:pPr>
        <w:pStyle w:val="Nadpis1"/>
        <w:numPr>
          <w:ilvl w:val="1"/>
          <w:numId w:val="5"/>
        </w:numPr>
        <w:spacing w:before="0" w:after="0" w:line="240" w:lineRule="auto"/>
        <w:ind w:hanging="650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</w:t>
      </w:r>
      <w:r w:rsidR="001A3602" w:rsidRPr="00DA27B1">
        <w:rPr>
          <w:b w:val="0"/>
          <w:u w:val="none"/>
          <w:lang w:eastAsia="cs-CZ"/>
        </w:rPr>
        <w:t xml:space="preserve">i </w:t>
      </w:r>
      <w:r w:rsidR="00AA52E0" w:rsidRPr="00DA27B1">
        <w:rPr>
          <w:u w:val="none"/>
          <w:lang w:eastAsia="cs-CZ"/>
        </w:rPr>
        <w:t>5</w:t>
      </w:r>
      <w:r w:rsidR="001A3602" w:rsidRPr="00DA27B1">
        <w:rPr>
          <w:u w:val="none"/>
          <w:lang w:eastAsia="cs-CZ"/>
        </w:rPr>
        <w:t xml:space="preserve"> %</w:t>
      </w:r>
      <w:r w:rsidR="00DA27B1">
        <w:rPr>
          <w:u w:val="none"/>
          <w:lang w:eastAsia="cs-CZ"/>
        </w:rPr>
        <w:t xml:space="preserve"> </w:t>
      </w:r>
      <w:r w:rsidR="001A3602" w:rsidRPr="00483C85">
        <w:rPr>
          <w:b w:val="0"/>
          <w:u w:val="none"/>
          <w:lang w:eastAsia="cs-CZ"/>
        </w:rPr>
        <w:t>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51F2A674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DA27B1">
        <w:rPr>
          <w:rFonts w:eastAsia="Times New Roman" w:cs="Times New Roman"/>
          <w:b w:val="0"/>
          <w:u w:val="none"/>
          <w:lang w:eastAsia="cs-CZ"/>
        </w:rPr>
        <w:t xml:space="preserve">jedno </w:t>
      </w:r>
      <w:r w:rsidRPr="008B6595">
        <w:rPr>
          <w:rFonts w:eastAsia="Times New Roman" w:cs="Times New Roman"/>
          <w:b w:val="0"/>
          <w:u w:val="none"/>
          <w:lang w:eastAsia="cs-CZ"/>
        </w:rPr>
        <w:t>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5AC65855" w14:textId="77777777" w:rsidR="00DA27B1" w:rsidRPr="00DA27B1" w:rsidRDefault="00DA27B1" w:rsidP="00DA27B1">
      <w:pPr>
        <w:spacing w:after="0"/>
        <w:rPr>
          <w:lang w:eastAsia="cs-CZ"/>
        </w:rPr>
      </w:pP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DA27B1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331C4D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31C4D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331C4D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331C4D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331C4D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3B3EBE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B3EBE">
        <w:rPr>
          <w:rFonts w:eastAsia="Times New Roman" w:cs="Times New Roman"/>
          <w:lang w:eastAsia="cs-CZ"/>
        </w:rPr>
        <w:t>Obchodní podmínky</w:t>
      </w:r>
    </w:p>
    <w:p w14:paraId="12242800" w14:textId="6D6DF071" w:rsidR="003466C9" w:rsidRPr="003B3EBE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B3EBE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3B3EBE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B3EBE">
        <w:rPr>
          <w:rFonts w:eastAsia="Times New Roman" w:cs="Times New Roman"/>
          <w:lang w:eastAsia="cs-CZ"/>
        </w:rPr>
        <w:t>Oceněný položkový rozpočet</w:t>
      </w:r>
    </w:p>
    <w:p w14:paraId="17F1D7BD" w14:textId="09993714" w:rsidR="003466C9" w:rsidRPr="00E8159A" w:rsidRDefault="00DA27B1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8159A">
        <w:rPr>
          <w:rFonts w:eastAsia="Times New Roman" w:cs="Times New Roman"/>
          <w:lang w:eastAsia="cs-CZ"/>
        </w:rPr>
        <w:t>Seznam autorizovaných smluvních servisů</w:t>
      </w:r>
      <w:r w:rsidR="003466C9" w:rsidRPr="00E8159A">
        <w:rPr>
          <w:rFonts w:eastAsia="Times New Roman" w:cs="Times New Roman"/>
          <w:lang w:eastAsia="cs-CZ"/>
        </w:rPr>
        <w:t xml:space="preserve"> </w:t>
      </w:r>
      <w:r w:rsidR="003466C9" w:rsidRPr="00E8159A">
        <w:rPr>
          <w:rFonts w:eastAsia="Times New Roman" w:cs="Times New Roman"/>
          <w:i/>
          <w:iCs/>
          <w:highlight w:val="green"/>
          <w:lang w:eastAsia="cs-CZ"/>
        </w:rPr>
        <w:t>– doplní Prodávající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6D28EC8C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3B3EBE">
        <w:rPr>
          <w:rFonts w:eastAsia="Times New Roman" w:cs="Times New Roman"/>
          <w:i/>
          <w:highlight w:val="green"/>
          <w:lang w:eastAsia="cs-CZ"/>
        </w:rPr>
        <w:t>(pouze v případě zastoupení prodávajícího osobou na základě plné moci</w:t>
      </w:r>
      <w:r w:rsidR="003B3EBE" w:rsidRPr="003B3EBE">
        <w:rPr>
          <w:rFonts w:eastAsia="Times New Roman" w:cs="Times New Roman"/>
          <w:i/>
          <w:highlight w:val="green"/>
          <w:lang w:eastAsia="cs-CZ"/>
        </w:rPr>
        <w:t>, jinak vymazat</w:t>
      </w:r>
      <w:r w:rsidRPr="003B3EBE">
        <w:rPr>
          <w:rFonts w:eastAsia="Times New Roman" w:cs="Times New Roman"/>
          <w:i/>
          <w:highlight w:val="green"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331C4D">
        <w:rPr>
          <w:highlight w:val="green"/>
        </w:rPr>
        <w:t>V………………dne ……………</w:t>
      </w:r>
      <w:r w:rsidRPr="00331C4D">
        <w:rPr>
          <w:highlight w:val="green"/>
        </w:rPr>
        <w:tab/>
      </w:r>
      <w:r w:rsidRPr="00331C4D">
        <w:rPr>
          <w:highlight w:val="green"/>
        </w:rPr>
        <w:tab/>
      </w:r>
      <w:r w:rsidRPr="00331C4D">
        <w:rPr>
          <w:highlight w:val="green"/>
        </w:rPr>
        <w:tab/>
      </w:r>
      <w:r w:rsidRPr="00331C4D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3B7F5AD1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1FCBCBC9" w14:textId="77777777" w:rsidR="00331C4D" w:rsidRDefault="00331C4D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11A2F6C4" w14:textId="4EFE7291" w:rsidR="003466C9" w:rsidRPr="00331C4D" w:rsidRDefault="00331C4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</w:rPr>
      </w:pPr>
      <w:r w:rsidRPr="00331C4D">
        <w:rPr>
          <w:b/>
          <w:noProof/>
        </w:rPr>
        <w:t>Ing. Martin Kašpa</w:t>
      </w:r>
      <w:r w:rsidR="003E3CDC">
        <w:rPr>
          <w:b/>
          <w:noProof/>
        </w:rPr>
        <w:t>r</w:t>
      </w:r>
      <w:r w:rsidR="003E3CDC">
        <w:rPr>
          <w:b/>
          <w:noProof/>
        </w:rPr>
        <w:tab/>
      </w:r>
      <w:r w:rsidR="003E3CDC">
        <w:rPr>
          <w:b/>
          <w:noProof/>
        </w:rPr>
        <w:tab/>
      </w:r>
      <w:r w:rsidR="003E3CDC">
        <w:rPr>
          <w:b/>
          <w:noProof/>
        </w:rPr>
        <w:tab/>
      </w:r>
      <w:r w:rsidR="003E3CDC">
        <w:rPr>
          <w:b/>
          <w:noProof/>
        </w:rPr>
        <w:tab/>
      </w:r>
      <w:r w:rsidR="003E3CDC">
        <w:rPr>
          <w:b/>
          <w:noProof/>
        </w:rPr>
        <w:tab/>
      </w:r>
      <w:r w:rsidR="003466C9" w:rsidRPr="00331C4D">
        <w:rPr>
          <w:rFonts w:asciiTheme="majorHAnsi" w:hAnsiTheme="majorHAnsi"/>
          <w:noProof/>
        </w:rPr>
        <w:t>[</w:t>
      </w:r>
      <w:r w:rsidR="003466C9" w:rsidRPr="00331C4D">
        <w:rPr>
          <w:rFonts w:asciiTheme="majorHAnsi" w:hAnsiTheme="majorHAnsi"/>
          <w:i/>
          <w:iCs/>
          <w:noProof/>
        </w:rPr>
        <w:t>DOPLNÍ P</w:t>
      </w:r>
      <w:r w:rsidR="008B6595" w:rsidRPr="00331C4D">
        <w:rPr>
          <w:rFonts w:asciiTheme="majorHAnsi" w:hAnsiTheme="majorHAnsi"/>
          <w:i/>
          <w:iCs/>
          <w:noProof/>
        </w:rPr>
        <w:t>RODÁVAJÍCÍ</w:t>
      </w:r>
      <w:r w:rsidR="003466C9" w:rsidRPr="00331C4D">
        <w:rPr>
          <w:rFonts w:asciiTheme="majorHAnsi" w:hAnsiTheme="majorHAnsi"/>
          <w:noProof/>
        </w:rPr>
        <w:t>]</w:t>
      </w:r>
    </w:p>
    <w:p w14:paraId="3FF27EFD" w14:textId="70D9971B" w:rsidR="00331C4D" w:rsidRPr="00331C4D" w:rsidRDefault="00331C4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6686CC2F" w14:textId="5230F6F8" w:rsidR="00331C4D" w:rsidRPr="00331C4D" w:rsidRDefault="00331C4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sectPr w:rsidR="00331C4D" w:rsidRPr="00331C4D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B31F5" w16cex:dateUtc="2023-03-02T13:32:00Z"/>
  <w16cex:commentExtensible w16cex:durableId="27AB2763" w16cex:dateUtc="2023-03-02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52884" w14:textId="77777777" w:rsidR="007273EF" w:rsidRDefault="007273EF" w:rsidP="00962258">
      <w:pPr>
        <w:spacing w:after="0" w:line="240" w:lineRule="auto"/>
      </w:pPr>
      <w:r>
        <w:separator/>
      </w:r>
    </w:p>
  </w:endnote>
  <w:endnote w:type="continuationSeparator" w:id="0">
    <w:p w14:paraId="6300D69B" w14:textId="77777777" w:rsidR="007273EF" w:rsidRDefault="007273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DC2B" w14:textId="77777777" w:rsidR="007273EF" w:rsidRDefault="007273EF" w:rsidP="00962258">
      <w:pPr>
        <w:spacing w:after="0" w:line="240" w:lineRule="auto"/>
      </w:pPr>
      <w:r>
        <w:separator/>
      </w:r>
    </w:p>
  </w:footnote>
  <w:footnote w:type="continuationSeparator" w:id="0">
    <w:p w14:paraId="630AAB6E" w14:textId="77777777" w:rsidR="007273EF" w:rsidRDefault="007273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2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6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80E07"/>
    <w:rsid w:val="00287059"/>
    <w:rsid w:val="002A5E9C"/>
    <w:rsid w:val="002A6DEC"/>
    <w:rsid w:val="002A77EB"/>
    <w:rsid w:val="002B20CA"/>
    <w:rsid w:val="002B378D"/>
    <w:rsid w:val="002C31BF"/>
    <w:rsid w:val="002C400D"/>
    <w:rsid w:val="002D03C5"/>
    <w:rsid w:val="002D08B1"/>
    <w:rsid w:val="002E0CD7"/>
    <w:rsid w:val="00300C59"/>
    <w:rsid w:val="003119BE"/>
    <w:rsid w:val="00317167"/>
    <w:rsid w:val="00322681"/>
    <w:rsid w:val="00331C4D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B3EBE"/>
    <w:rsid w:val="003D06BE"/>
    <w:rsid w:val="003E3CDC"/>
    <w:rsid w:val="003F32AD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3C85"/>
    <w:rsid w:val="00486107"/>
    <w:rsid w:val="00491827"/>
    <w:rsid w:val="00493B1B"/>
    <w:rsid w:val="004B348C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4F98"/>
    <w:rsid w:val="005B76DD"/>
    <w:rsid w:val="005D5624"/>
    <w:rsid w:val="005D7514"/>
    <w:rsid w:val="005D77DE"/>
    <w:rsid w:val="005E0B52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36300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B7288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75267"/>
    <w:rsid w:val="00886D4B"/>
    <w:rsid w:val="00895406"/>
    <w:rsid w:val="008A3568"/>
    <w:rsid w:val="008A7260"/>
    <w:rsid w:val="008B1447"/>
    <w:rsid w:val="008B6595"/>
    <w:rsid w:val="008D03B9"/>
    <w:rsid w:val="008D48F3"/>
    <w:rsid w:val="008D6B46"/>
    <w:rsid w:val="008D7FB4"/>
    <w:rsid w:val="008D7FB8"/>
    <w:rsid w:val="008F18D6"/>
    <w:rsid w:val="00904780"/>
    <w:rsid w:val="00907843"/>
    <w:rsid w:val="009146AF"/>
    <w:rsid w:val="00922385"/>
    <w:rsid w:val="009223DF"/>
    <w:rsid w:val="00923E73"/>
    <w:rsid w:val="00926B03"/>
    <w:rsid w:val="00926EA5"/>
    <w:rsid w:val="00936091"/>
    <w:rsid w:val="00940D8A"/>
    <w:rsid w:val="00945C3D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26CDB"/>
    <w:rsid w:val="00B40A47"/>
    <w:rsid w:val="00B56FC3"/>
    <w:rsid w:val="00B75EE1"/>
    <w:rsid w:val="00B77481"/>
    <w:rsid w:val="00B8518B"/>
    <w:rsid w:val="00BA0878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D3C77"/>
    <w:rsid w:val="00CD6ADE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A27B1"/>
    <w:rsid w:val="00DC41AD"/>
    <w:rsid w:val="00DC75F3"/>
    <w:rsid w:val="00DD46F3"/>
    <w:rsid w:val="00DE56F2"/>
    <w:rsid w:val="00DF116D"/>
    <w:rsid w:val="00E17FE7"/>
    <w:rsid w:val="00E7068E"/>
    <w:rsid w:val="00E8159A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14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BenesJ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78BBD5-CE90-4E33-AF31-98B8B3DA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2842</Words>
  <Characters>16774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26</cp:revision>
  <cp:lastPrinted>2017-11-28T17:18:00Z</cp:lastPrinted>
  <dcterms:created xsi:type="dcterms:W3CDTF">2023-03-01T08:23:00Z</dcterms:created>
  <dcterms:modified xsi:type="dcterms:W3CDTF">2023-08-10T06:04:00Z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